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4E" w:rsidRPr="006F3CE4" w:rsidRDefault="006F3CE4" w:rsidP="006F3CE4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F3CE4">
        <w:rPr>
          <w:rFonts w:ascii="Times New Roman" w:hAnsi="Times New Roman" w:cs="Times New Roman"/>
          <w:b/>
          <w:sz w:val="20"/>
          <w:szCs w:val="20"/>
          <w:lang w:val="ru-RU"/>
        </w:rPr>
        <w:t>СРАВНИТЕЛЬНЫЙ АНАЛИЗ БЮДЖЕТА ГОСУДАРСТВЕННОЙ ПОДДЕРЖКИ МСБ В СТРАНАХ ОЭСР И В РК</w:t>
      </w:r>
    </w:p>
    <w:p w:rsidR="00FF364E" w:rsidRPr="006F3CE4" w:rsidRDefault="006F3CE4" w:rsidP="00FF364E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3CE4">
        <w:rPr>
          <w:rFonts w:ascii="Times New Roman" w:hAnsi="Times New Roman" w:cs="Times New Roman"/>
          <w:i/>
          <w:sz w:val="20"/>
          <w:szCs w:val="20"/>
          <w:lang w:val="ru-RU"/>
        </w:rPr>
        <w:t>О</w:t>
      </w:r>
      <w:r w:rsidR="00201D98" w:rsidRPr="006F3CE4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коло 86 тысяч проектов МСБ на общую сумму 3,5 </w:t>
      </w:r>
      <w:proofErr w:type="spellStart"/>
      <w:proofErr w:type="gramStart"/>
      <w:r w:rsidR="00201D98" w:rsidRPr="006F3CE4">
        <w:rPr>
          <w:rFonts w:ascii="Times New Roman" w:hAnsi="Times New Roman" w:cs="Times New Roman"/>
          <w:i/>
          <w:sz w:val="20"/>
          <w:szCs w:val="20"/>
          <w:lang w:val="ru-RU"/>
        </w:rPr>
        <w:t>трлн</w:t>
      </w:r>
      <w:proofErr w:type="spellEnd"/>
      <w:proofErr w:type="gramEnd"/>
      <w:r w:rsidR="00201D98" w:rsidRPr="006F3CE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тенге поддержаны за 2013-2019</w:t>
      </w:r>
      <w:r w:rsidR="00D82F31" w:rsidRPr="006F3CE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bookmarkStart w:id="0" w:name="_GoBack"/>
      <w:bookmarkEnd w:id="0"/>
      <w:r w:rsidR="00201D98" w:rsidRPr="006F3CE4">
        <w:rPr>
          <w:rFonts w:ascii="Times New Roman" w:hAnsi="Times New Roman" w:cs="Times New Roman"/>
          <w:i/>
          <w:sz w:val="20"/>
          <w:szCs w:val="20"/>
          <w:lang w:val="ru-RU"/>
        </w:rPr>
        <w:t>гг.</w:t>
      </w:r>
    </w:p>
    <w:p w:rsidR="00D136E5" w:rsidRPr="00245BED" w:rsidRDefault="00D136E5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Организация </w:t>
      </w:r>
      <w:r w:rsidR="00027873"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экономического сотрудничества и развития </w:t>
      </w:r>
      <w:r w:rsidR="009D7987"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(ОЭСР) </w:t>
      </w:r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ведет постоянный мониторинг развития предпринимательства в странах участниках. В </w:t>
      </w:r>
      <w:proofErr w:type="spellStart"/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>стран</w:t>
      </w:r>
      <w:r w:rsidR="00375C55" w:rsidRPr="00245BED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>вом</w:t>
      </w:r>
      <w:proofErr w:type="spellEnd"/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обзоре ОЭСР представлена информаци</w:t>
      </w:r>
      <w:r w:rsidR="009D7987" w:rsidRPr="00245BED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Pr="00245B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 тенденциях и политике финансирования МСП в 48 странах мира за период 2007-2018 годов.</w:t>
      </w:r>
    </w:p>
    <w:p w:rsidR="00D136E5" w:rsidRPr="00245BED" w:rsidRDefault="00D136E5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sz w:val="20"/>
          <w:szCs w:val="20"/>
          <w:lang w:val="ru-RU"/>
        </w:rPr>
        <w:t>Казахстан является одним из активных членов данной организации. Сегодня стандарты ОЭСР успешно внедряются во всех сферах</w:t>
      </w:r>
      <w:r w:rsidR="00027873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и в 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>сектор</w:t>
      </w:r>
      <w:r w:rsidR="00027873" w:rsidRPr="00245BED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МСБ. </w:t>
      </w:r>
    </w:p>
    <w:p w:rsidR="0094261E" w:rsidRPr="00245BED" w:rsidRDefault="0094261E" w:rsidP="00942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На фоне непростой экономической ситуации мировые страны предпринимают меры по стимулированию бизнеса. Одним из основных механизмов выступает кредитование. </w:t>
      </w: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Казахстан по темпам роста кредитования МСП вошел в первую пятерку</w:t>
      </w:r>
      <w:r w:rsidR="00FC3256"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за 2018 год,</w:t>
      </w: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  <w:r w:rsidR="00FC3256"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р</w:t>
      </w: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ост составил 7,17%.</w:t>
      </w:r>
    </w:p>
    <w:p w:rsidR="0094261E" w:rsidRPr="00245BED" w:rsidRDefault="0094261E" w:rsidP="00FC325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i/>
          <w:iCs/>
          <w:sz w:val="20"/>
          <w:szCs w:val="20"/>
          <w:lang w:val="ru-RU"/>
        </w:rPr>
        <w:t>Диаграмма 1. Новые кредиты МСП. Темпы роста в годовом исчислении</w:t>
      </w:r>
      <w:proofErr w:type="gramStart"/>
      <w:r w:rsidRPr="00245BE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(%)</w:t>
      </w:r>
      <w:proofErr w:type="gramEnd"/>
    </w:p>
    <w:p w:rsidR="0094261E" w:rsidRPr="00245BED" w:rsidRDefault="0094261E" w:rsidP="0094261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42965" cy="2495550"/>
            <wp:effectExtent l="0" t="0" r="635" b="0"/>
            <wp:docPr id="28" name="Рисунок 28" descr="Рисунок 1.2.  Новые кредиты МСП, темпы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2.  Новые кредиты МСП, темпы ро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35" cy="24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1E" w:rsidRPr="00245BED" w:rsidRDefault="0094261E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615EF" w:rsidRPr="00245BED" w:rsidRDefault="002615EF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За </w:t>
      </w:r>
      <w:r w:rsidR="00D136E5" w:rsidRPr="00245BED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D136E5" w:rsidRPr="00245BED">
        <w:rPr>
          <w:rFonts w:ascii="Times New Roman" w:hAnsi="Times New Roman" w:cs="Times New Roman"/>
          <w:sz w:val="20"/>
          <w:szCs w:val="20"/>
          <w:lang w:val="ru-RU"/>
        </w:rPr>
        <w:t>-201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D136E5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годы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Правительство</w:t>
      </w:r>
      <w:r w:rsidR="00D136E5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через Фонд «Даму» </w:t>
      </w:r>
      <w:bookmarkStart w:id="1" w:name="_Hlk55813551"/>
      <w:r w:rsidRPr="00245BED">
        <w:rPr>
          <w:rFonts w:ascii="Times New Roman" w:hAnsi="Times New Roman" w:cs="Times New Roman"/>
          <w:sz w:val="20"/>
          <w:szCs w:val="20"/>
          <w:lang w:val="ru-RU"/>
        </w:rPr>
        <w:t>обеспечило объемы льготного финансирования МСБ</w:t>
      </w:r>
      <w:bookmarkEnd w:id="1"/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, сопоставимые со странами ОЭСР: бюджет программ поддержки МСБ за этот период составил 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748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245BED">
        <w:rPr>
          <w:rFonts w:ascii="Times New Roman" w:hAnsi="Times New Roman" w:cs="Times New Roman"/>
          <w:sz w:val="20"/>
          <w:szCs w:val="20"/>
          <w:lang w:val="ru-RU"/>
        </w:rPr>
        <w:t>млрд</w:t>
      </w:r>
      <w:proofErr w:type="spellEnd"/>
      <w:proofErr w:type="gramEnd"/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тенге. Данные м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еры позволили профинансировать </w:t>
      </w:r>
      <w:bookmarkStart w:id="2" w:name="_Hlk55813878"/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>5,6 тысяч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проектов МСБ на общую сумму 3,5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245BED">
        <w:rPr>
          <w:rFonts w:ascii="Times New Roman" w:hAnsi="Times New Roman" w:cs="Times New Roman"/>
          <w:sz w:val="20"/>
          <w:szCs w:val="20"/>
          <w:lang w:val="ru-RU"/>
        </w:rPr>
        <w:t>трлн</w:t>
      </w:r>
      <w:proofErr w:type="spellEnd"/>
      <w:proofErr w:type="gramEnd"/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тенге</w:t>
      </w:r>
      <w:bookmarkEnd w:id="2"/>
      <w:r w:rsidRPr="00245BE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E0382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З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>а 7 лет портфель кредитов МСБ</w:t>
      </w:r>
      <w:r w:rsidR="005E0382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201D98"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банках </w:t>
      </w:r>
      <w:r w:rsidR="00D80336" w:rsidRPr="00245BED">
        <w:rPr>
          <w:rFonts w:ascii="Times New Roman" w:hAnsi="Times New Roman" w:cs="Times New Roman"/>
          <w:sz w:val="20"/>
          <w:szCs w:val="20"/>
          <w:lang w:val="ru-RU"/>
        </w:rPr>
        <w:t>вырос до 4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245BED">
        <w:rPr>
          <w:rFonts w:ascii="Times New Roman" w:hAnsi="Times New Roman" w:cs="Times New Roman"/>
          <w:sz w:val="20"/>
          <w:szCs w:val="20"/>
          <w:lang w:val="ru-RU"/>
        </w:rPr>
        <w:t>трлн</w:t>
      </w:r>
      <w:proofErr w:type="spellEnd"/>
      <w:proofErr w:type="gramEnd"/>
      <w:r w:rsidRPr="00245BED">
        <w:rPr>
          <w:rFonts w:ascii="Times New Roman" w:hAnsi="Times New Roman" w:cs="Times New Roman"/>
          <w:sz w:val="20"/>
          <w:szCs w:val="20"/>
          <w:lang w:val="ru-RU"/>
        </w:rPr>
        <w:t xml:space="preserve"> тенге, 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доля МСБ в портфеле выросла до 26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737DF" w:rsidRPr="00245BED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245BED">
        <w:rPr>
          <w:rFonts w:ascii="Times New Roman" w:hAnsi="Times New Roman" w:cs="Times New Roman"/>
          <w:sz w:val="20"/>
          <w:szCs w:val="20"/>
          <w:lang w:val="ru-RU"/>
        </w:rPr>
        <w:t>%</w:t>
      </w:r>
      <w:r w:rsidR="005E0382" w:rsidRPr="00245BE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4261E" w:rsidRPr="00245BED" w:rsidRDefault="0094261E" w:rsidP="0081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 основе </w:t>
      </w:r>
      <w:proofErr w:type="spellStart"/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>странового</w:t>
      </w:r>
      <w:proofErr w:type="spellEnd"/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обзора ОЭСР Фонд «Даму» сделал анализ по объему сре</w:t>
      </w:r>
      <w:proofErr w:type="gramStart"/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дств дл</w:t>
      </w:r>
      <w:proofErr w:type="gramEnd"/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я стимулирования предпринимательства, выделенных правительствами в течение 2018 </w:t>
      </w:r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года. Приведем некоторые данные: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Турция 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направила на развитие бизнеса </w:t>
      </w:r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11 856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>, Канада – 7 659, Россия – 2 298,</w:t>
      </w:r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Австрия – 993, Казахстан – 902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>, Финляндия – 899, Нидерланды – 75</w:t>
      </w:r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5, Чехия – 338 </w:t>
      </w:r>
      <w:proofErr w:type="spellStart"/>
      <w:proofErr w:type="gramStart"/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млн</w:t>
      </w:r>
      <w:proofErr w:type="spellEnd"/>
      <w:proofErr w:type="gramEnd"/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долларов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Приведенные данные свидетельствуют, что Казахстан </w:t>
      </w:r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проводит </w:t>
      </w:r>
      <w:proofErr w:type="gramStart"/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амбициозную</w:t>
      </w:r>
      <w:proofErr w:type="gramEnd"/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политику по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вопросам </w:t>
      </w:r>
      <w:r w:rsidR="00FC325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финансирования</w:t>
      </w: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бизнеса.</w:t>
      </w:r>
    </w:p>
    <w:p w:rsidR="009D6DCB" w:rsidRPr="00245BED" w:rsidRDefault="0094261E" w:rsidP="0094261E">
      <w:pPr>
        <w:spacing w:after="0" w:line="240" w:lineRule="auto"/>
        <w:ind w:right="146" w:firstLine="567"/>
        <w:jc w:val="both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В странах ОЭСР основными инструментами поддержки предпринимательства являются субсидии, гарантии, льготное кредитование, финансирование экспортоориентированных компаний</w:t>
      </w:r>
      <w:r w:rsidR="00A65E4B"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и др</w:t>
      </w:r>
      <w:r w:rsidR="00A65E4B"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у</w:t>
      </w:r>
      <w:r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гие. В нашей стране данные меры также успешно внедрены и реализуются. Наряду с традиционными мерами поддержки Фонд «Даму» внедяет новые инстурменты, такие как секьюритизация, </w:t>
      </w:r>
      <w:r w:rsidR="00B542DA" w:rsidRPr="00245BED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льготное кредитование на принципах исламского финансирования,  выпуск купонных «зеленых облигаций». </w:t>
      </w:r>
    </w:p>
    <w:p w:rsidR="005E0382" w:rsidRPr="00245BED" w:rsidRDefault="00A65E4B" w:rsidP="00942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Данные меры </w:t>
      </w:r>
      <w:bookmarkStart w:id="3" w:name="_Hlk55815208"/>
      <w:r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должны способствовать дальнейшему росту</w:t>
      </w:r>
      <w:r w:rsidR="008D3E8B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59606E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предпринимательства</w:t>
      </w:r>
      <w:bookmarkEnd w:id="3"/>
      <w:r w:rsidR="008D3E8B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. Фонд «Даму» выступает основным институтом развития МСБ. Наша основная цель</w:t>
      </w:r>
      <w:r w:rsidR="005079CA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8D3E8B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– поддержка </w:t>
      </w:r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создания</w:t>
      </w:r>
      <w:r w:rsidR="00540F40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новых конкурентоспособных компаний </w:t>
      </w:r>
      <w:r w:rsidR="008D3E8B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и продвижени</w:t>
      </w:r>
      <w:r w:rsidR="00D80336" w:rsidRPr="00245BED">
        <w:rPr>
          <w:rFonts w:ascii="Times New Roman" w:hAnsi="Times New Roman" w:cs="Times New Roman"/>
          <w:sz w:val="20"/>
          <w:szCs w:val="20"/>
          <w:lang w:val="ru-RU" w:eastAsia="ru-RU"/>
        </w:rPr>
        <w:t>е</w:t>
      </w:r>
      <w:r w:rsidR="008D3E8B" w:rsidRPr="00245BE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отечественного предпринимательства. </w:t>
      </w:r>
    </w:p>
    <w:p w:rsidR="00432554" w:rsidRPr="00201D98" w:rsidRDefault="00432554" w:rsidP="00812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6186D" w:rsidRPr="00201D98" w:rsidRDefault="0096186D" w:rsidP="00432554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093D30" w:rsidRDefault="00093D30" w:rsidP="00245BE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45BED" w:rsidRPr="006F3CE4" w:rsidRDefault="006F3CE4" w:rsidP="006F3CE4">
      <w:pPr>
        <w:jc w:val="both"/>
        <w:rPr>
          <w:rFonts w:ascii="Tahoma" w:hAnsi="Tahoma" w:cs="Tahoma"/>
          <w:b/>
          <w:sz w:val="28"/>
          <w:szCs w:val="28"/>
          <w:lang w:val="kk-KZ"/>
        </w:rPr>
      </w:pPr>
      <w:r w:rsidRPr="006F3CE4">
        <w:rPr>
          <w:rFonts w:ascii="Tahoma" w:hAnsi="Tahoma" w:cs="Tahoma"/>
          <w:b/>
          <w:sz w:val="28"/>
          <w:szCs w:val="28"/>
          <w:lang w:val="kk-KZ"/>
        </w:rPr>
        <w:t>ЭЫДҰ ЕЛДЕРІНДЕ ЖӘНЕ ҚР-ДА ШОБ МЕМЛЕКЕТТІК ҚОЛДАУ БЮДЖЕТІН САЛЫСТЫРМАЛЫ ТҮРДЕ ТАЛДАУ</w:t>
      </w:r>
    </w:p>
    <w:p w:rsidR="00245BED" w:rsidRPr="006F3CE4" w:rsidRDefault="00245BED" w:rsidP="00820EE5">
      <w:pPr>
        <w:jc w:val="both"/>
        <w:rPr>
          <w:rFonts w:ascii="Tahoma" w:hAnsi="Tahoma" w:cs="Tahoma"/>
          <w:i/>
          <w:sz w:val="28"/>
          <w:szCs w:val="28"/>
          <w:lang w:val="kk-KZ"/>
        </w:rPr>
      </w:pPr>
      <w:r w:rsidRPr="006F3CE4">
        <w:rPr>
          <w:rFonts w:ascii="Tahoma" w:hAnsi="Tahoma" w:cs="Tahoma"/>
          <w:i/>
          <w:sz w:val="28"/>
          <w:szCs w:val="28"/>
          <w:lang w:val="kk-KZ"/>
        </w:rPr>
        <w:lastRenderedPageBreak/>
        <w:t>Жалпы сомасы 3,5 трлн теңге болатын 86 мыңға жуық ШОБ жобасы 2013-2019 жылдары қолдау тапты.</w:t>
      </w:r>
    </w:p>
    <w:p w:rsidR="00245BED" w:rsidRPr="009963DC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kk-KZ"/>
        </w:rPr>
      </w:pPr>
      <w:r w:rsidRPr="009963DC">
        <w:rPr>
          <w:rFonts w:ascii="Tahoma" w:hAnsi="Tahoma" w:cs="Tahoma"/>
          <w:b/>
          <w:sz w:val="28"/>
          <w:szCs w:val="28"/>
          <w:lang w:val="kk-KZ"/>
        </w:rPr>
        <w:t xml:space="preserve">Экономикалық ынтымақтастық және даму ұйымы (ЭЫДҰ) </w:t>
      </w:r>
      <w:r>
        <w:rPr>
          <w:rFonts w:ascii="Tahoma" w:hAnsi="Tahoma" w:cs="Tahoma"/>
          <w:b/>
          <w:sz w:val="28"/>
          <w:szCs w:val="28"/>
          <w:lang w:val="kk-KZ"/>
        </w:rPr>
        <w:t xml:space="preserve">мүше </w:t>
      </w:r>
      <w:r w:rsidRPr="009963DC">
        <w:rPr>
          <w:rFonts w:ascii="Tahoma" w:hAnsi="Tahoma" w:cs="Tahoma"/>
          <w:b/>
          <w:sz w:val="28"/>
          <w:szCs w:val="28"/>
          <w:lang w:val="kk-KZ"/>
        </w:rPr>
        <w:t>елдер ішінде кәсіпкерлікті дамытудың тұрақты мониторингін жүргізеді. ЭЫДҰ елдер бойынша шолуында 2007-2018 жылдар кезеңіндегі әлемнің 48 еліндегі ШОК қаржыландыру үрдістері мен саясаты туралы ақпарат ұсынылған.</w:t>
      </w:r>
    </w:p>
    <w:p w:rsidR="00245BED" w:rsidRPr="006F3CE4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kk-KZ"/>
        </w:rPr>
      </w:pPr>
      <w:r w:rsidRPr="006F3CE4">
        <w:rPr>
          <w:rFonts w:ascii="Tahoma" w:hAnsi="Tahoma" w:cs="Tahoma"/>
          <w:sz w:val="28"/>
          <w:szCs w:val="28"/>
          <w:lang w:val="kk-KZ"/>
        </w:rPr>
        <w:t>Қазақстан осы ұйымның белсенді мүшелерінің бірі. Бүгінде ЭЫДҰ стандарттары барлық салалар мен ШОБ секторында табысты енгізілуде.</w:t>
      </w:r>
    </w:p>
    <w:p w:rsidR="00245BED" w:rsidRPr="006F3CE4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kk-KZ"/>
        </w:rPr>
      </w:pPr>
      <w:r w:rsidRPr="006F3CE4">
        <w:rPr>
          <w:rFonts w:ascii="Tahoma" w:hAnsi="Tahoma" w:cs="Tahoma"/>
          <w:noProof/>
          <w:sz w:val="28"/>
          <w:szCs w:val="28"/>
          <w:lang w:val="kk-KZ" w:eastAsia="ru-RU"/>
        </w:rPr>
        <w:t>Күрделі экономикалық ахуал кезінде әлем елдері бизнесті ынталандыру бойынша шаралар қабылдауда. Негізгі тетіктердің бірі -несиелеу. Қазақстан шағын және орта бизнесті несиелендірудің өсу қарқыны бойынша 2018 жылы алғашқы бестікке кірді, өсім 7,17% құрады.</w:t>
      </w:r>
    </w:p>
    <w:p w:rsidR="00245BED" w:rsidRPr="00245BED" w:rsidRDefault="00245BED" w:rsidP="00245BED">
      <w:pPr>
        <w:shd w:val="clear" w:color="auto" w:fill="FFFFFF"/>
        <w:spacing w:after="0" w:line="240" w:lineRule="auto"/>
        <w:ind w:firstLine="567"/>
        <w:jc w:val="center"/>
        <w:rPr>
          <w:rFonts w:ascii="Tahoma" w:hAnsi="Tahoma" w:cs="Tahoma"/>
          <w:b/>
          <w:i/>
          <w:iCs/>
          <w:sz w:val="28"/>
          <w:szCs w:val="28"/>
          <w:lang w:val="ru-RU"/>
        </w:rPr>
      </w:pPr>
      <w:r>
        <w:rPr>
          <w:rFonts w:ascii="Tahoma" w:hAnsi="Tahoma" w:cs="Tahoma"/>
          <w:i/>
          <w:iCs/>
          <w:sz w:val="28"/>
          <w:szCs w:val="28"/>
          <w:lang w:val="ru-RU"/>
        </w:rPr>
        <w:t>1-д</w:t>
      </w:r>
      <w:r w:rsidRPr="00245BED">
        <w:rPr>
          <w:rFonts w:ascii="Tahoma" w:hAnsi="Tahoma" w:cs="Tahoma"/>
          <w:i/>
          <w:iCs/>
          <w:sz w:val="28"/>
          <w:szCs w:val="28"/>
          <w:lang w:val="ru-RU"/>
        </w:rPr>
        <w:t xml:space="preserve">иаграмма. Жылдық </w:t>
      </w:r>
      <w:proofErr w:type="spellStart"/>
      <w:r w:rsidRPr="00245BED">
        <w:rPr>
          <w:rFonts w:ascii="Tahoma" w:hAnsi="Tahoma" w:cs="Tahoma"/>
          <w:i/>
          <w:iCs/>
          <w:sz w:val="28"/>
          <w:szCs w:val="28"/>
          <w:lang w:val="ru-RU"/>
        </w:rPr>
        <w:t>есеп</w:t>
      </w:r>
      <w:proofErr w:type="spellEnd"/>
      <w:r>
        <w:rPr>
          <w:rFonts w:ascii="Tahoma" w:hAnsi="Tahoma" w:cs="Tahoma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ahoma" w:hAnsi="Tahoma" w:cs="Tahoma"/>
          <w:i/>
          <w:iCs/>
          <w:sz w:val="28"/>
          <w:szCs w:val="28"/>
          <w:lang w:val="ru-RU"/>
        </w:rPr>
        <w:t>бойынша</w:t>
      </w:r>
      <w:proofErr w:type="spellEnd"/>
      <w:r w:rsidRPr="00245BED">
        <w:rPr>
          <w:rFonts w:ascii="Tahoma" w:hAnsi="Tahoma" w:cs="Tahoma"/>
          <w:i/>
          <w:iCs/>
          <w:sz w:val="28"/>
          <w:szCs w:val="28"/>
          <w:lang w:val="ru-RU"/>
        </w:rPr>
        <w:t xml:space="preserve"> өсу қарқыны</w:t>
      </w:r>
      <w:proofErr w:type="gramStart"/>
      <w:r w:rsidRPr="00245BED">
        <w:rPr>
          <w:rFonts w:ascii="Tahoma" w:hAnsi="Tahoma" w:cs="Tahoma"/>
          <w:i/>
          <w:iCs/>
          <w:sz w:val="28"/>
          <w:szCs w:val="28"/>
          <w:lang w:val="ru-RU"/>
        </w:rPr>
        <w:t xml:space="preserve"> (%)</w:t>
      </w:r>
      <w:proofErr w:type="gramEnd"/>
    </w:p>
    <w:p w:rsidR="00245BED" w:rsidRPr="00245BED" w:rsidRDefault="00245BED" w:rsidP="00245BED">
      <w:pPr>
        <w:spacing w:after="0" w:line="240" w:lineRule="auto"/>
        <w:rPr>
          <w:rFonts w:ascii="Tahoma" w:hAnsi="Tahoma" w:cs="Tahoma"/>
          <w:noProof/>
          <w:sz w:val="28"/>
          <w:szCs w:val="28"/>
          <w:lang w:eastAsia="ru-RU"/>
        </w:rPr>
      </w:pP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drawing>
          <wp:inline distT="0" distB="0" distL="0" distR="0">
            <wp:extent cx="5942965" cy="2495550"/>
            <wp:effectExtent l="0" t="0" r="635" b="0"/>
            <wp:docPr id="1" name="Рисунок 28" descr="Рисунок 1.2.  Новые кредиты МСП, темпы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2.  Новые кредиты МСП, темпы ро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35" cy="24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ED" w:rsidRPr="00245BED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u-RU"/>
        </w:rPr>
      </w:pPr>
    </w:p>
    <w:p w:rsidR="00245BED" w:rsidRPr="00245BED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u-RU"/>
        </w:rPr>
      </w:pPr>
      <w:r w:rsidRPr="00245BED">
        <w:rPr>
          <w:rFonts w:ascii="Tahoma" w:hAnsi="Tahoma" w:cs="Tahoma"/>
          <w:sz w:val="28"/>
          <w:szCs w:val="28"/>
          <w:lang w:val="ru-RU"/>
        </w:rPr>
        <w:t xml:space="preserve">2013-2019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жылдары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Үкімет </w:t>
      </w:r>
      <w:r>
        <w:rPr>
          <w:rFonts w:ascii="Tahoma" w:hAnsi="Tahoma" w:cs="Tahoma"/>
          <w:sz w:val="28"/>
          <w:szCs w:val="28"/>
          <w:lang w:val="ru-RU"/>
        </w:rPr>
        <w:t>«</w:t>
      </w:r>
      <w:r w:rsidRPr="00245BED">
        <w:rPr>
          <w:rFonts w:ascii="Tahoma" w:hAnsi="Tahoma" w:cs="Tahoma"/>
          <w:sz w:val="28"/>
          <w:szCs w:val="28"/>
          <w:lang w:val="ru-RU"/>
        </w:rPr>
        <w:t>Даму</w:t>
      </w:r>
      <w:r>
        <w:rPr>
          <w:rFonts w:ascii="Tahoma" w:hAnsi="Tahoma" w:cs="Tahoma"/>
          <w:sz w:val="28"/>
          <w:szCs w:val="28"/>
          <w:lang w:val="ru-RU"/>
        </w:rPr>
        <w:t>»</w:t>
      </w:r>
      <w:r w:rsidRPr="00245BED">
        <w:rPr>
          <w:rFonts w:ascii="Tahoma" w:hAnsi="Tahoma" w:cs="Tahoma"/>
          <w:sz w:val="28"/>
          <w:szCs w:val="28"/>
          <w:lang w:val="ru-RU"/>
        </w:rPr>
        <w:t xml:space="preserve"> Қоры арқылы ЭЫДҰ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елдерімен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салыстыр</w:t>
      </w:r>
      <w:r>
        <w:rPr>
          <w:rFonts w:ascii="Tahoma" w:hAnsi="Tahoma" w:cs="Tahoma"/>
          <w:sz w:val="28"/>
          <w:szCs w:val="28"/>
          <w:lang w:val="ru-RU"/>
        </w:rPr>
        <w:t>ғандағы</w:t>
      </w:r>
      <w:r w:rsidRPr="00245BED">
        <w:rPr>
          <w:rFonts w:ascii="Tahoma" w:hAnsi="Tahoma" w:cs="Tahoma"/>
          <w:sz w:val="28"/>
          <w:szCs w:val="28"/>
          <w:lang w:val="ru-RU"/>
        </w:rPr>
        <w:t xml:space="preserve"> ШОБ жеңілдетілген қаржыландыру көлемін қамтамасыз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етті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: осы кезеңде ШОБ қолдау бағдарламаларының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бюджеті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748 </w:t>
      </w:r>
      <w:proofErr w:type="spellStart"/>
      <w:proofErr w:type="gramStart"/>
      <w:r w:rsidRPr="00245BED">
        <w:rPr>
          <w:rFonts w:ascii="Tahoma" w:hAnsi="Tahoma" w:cs="Tahoma"/>
          <w:sz w:val="28"/>
          <w:szCs w:val="28"/>
          <w:lang w:val="ru-RU"/>
        </w:rPr>
        <w:t>млрд</w:t>
      </w:r>
      <w:proofErr w:type="spellEnd"/>
      <w:proofErr w:type="gramEnd"/>
      <w:r w:rsidRPr="00245BED">
        <w:rPr>
          <w:rFonts w:ascii="Tahoma" w:hAnsi="Tahoma" w:cs="Tahoma"/>
          <w:sz w:val="28"/>
          <w:szCs w:val="28"/>
          <w:lang w:val="ru-RU"/>
        </w:rPr>
        <w:t xml:space="preserve"> теңгені құрады. Бұл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шаралар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ШОБ-тың 85,6 мың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жобасын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жалпы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сомасы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3,5 </w:t>
      </w:r>
      <w:proofErr w:type="spellStart"/>
      <w:proofErr w:type="gramStart"/>
      <w:r w:rsidRPr="00245BED">
        <w:rPr>
          <w:rFonts w:ascii="Tahoma" w:hAnsi="Tahoma" w:cs="Tahoma"/>
          <w:sz w:val="28"/>
          <w:szCs w:val="28"/>
          <w:lang w:val="ru-RU"/>
        </w:rPr>
        <w:t>трлн</w:t>
      </w:r>
      <w:proofErr w:type="spellEnd"/>
      <w:proofErr w:type="gramEnd"/>
      <w:r w:rsidRPr="00245BED">
        <w:rPr>
          <w:rFonts w:ascii="Tahoma" w:hAnsi="Tahoma" w:cs="Tahoma"/>
          <w:sz w:val="28"/>
          <w:szCs w:val="28"/>
          <w:lang w:val="ru-RU"/>
        </w:rPr>
        <w:t xml:space="preserve"> теңгеге қаржыландыруға мүмкіндік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берді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. 7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жыл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ішінде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банктердегі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ШОБ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несие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портфелі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4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трлн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теңгеге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дейін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өсті,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портфельдегі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ШОБ үлесі 26,9% - ға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дейін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өсті.</w:t>
      </w:r>
    </w:p>
    <w:p w:rsidR="00245BED" w:rsidRPr="00245BED" w:rsidRDefault="00245BED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u-RU"/>
        </w:rPr>
      </w:pPr>
      <w:proofErr w:type="gramStart"/>
      <w:r>
        <w:rPr>
          <w:rFonts w:ascii="Tahoma" w:hAnsi="Tahoma" w:cs="Tahoma"/>
          <w:sz w:val="28"/>
          <w:szCs w:val="28"/>
          <w:lang w:val="ru-RU"/>
        </w:rPr>
        <w:t xml:space="preserve">ЭЫДҰ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е</w:t>
      </w:r>
      <w:r w:rsidRPr="00245BED">
        <w:rPr>
          <w:rFonts w:ascii="Tahoma" w:hAnsi="Tahoma" w:cs="Tahoma"/>
          <w:sz w:val="28"/>
          <w:szCs w:val="28"/>
          <w:lang w:val="ru-RU"/>
        </w:rPr>
        <w:t>лд</w:t>
      </w:r>
      <w:r>
        <w:rPr>
          <w:rFonts w:ascii="Tahoma" w:hAnsi="Tahoma" w:cs="Tahoma"/>
          <w:sz w:val="28"/>
          <w:szCs w:val="28"/>
          <w:lang w:val="ru-RU"/>
        </w:rPr>
        <w:t>ер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бойынша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шолуы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негізінде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«</w:t>
      </w:r>
      <w:r w:rsidRPr="00245BED">
        <w:rPr>
          <w:rFonts w:ascii="Tahoma" w:hAnsi="Tahoma" w:cs="Tahoma"/>
          <w:sz w:val="28"/>
          <w:szCs w:val="28"/>
          <w:lang w:val="ru-RU"/>
        </w:rPr>
        <w:t>Даму</w:t>
      </w:r>
      <w:r>
        <w:rPr>
          <w:rFonts w:ascii="Tahoma" w:hAnsi="Tahoma" w:cs="Tahoma"/>
          <w:sz w:val="28"/>
          <w:szCs w:val="28"/>
          <w:lang w:val="ru-RU"/>
        </w:rPr>
        <w:t>»</w:t>
      </w:r>
      <w:r w:rsidRPr="00245BED">
        <w:rPr>
          <w:rFonts w:ascii="Tahoma" w:hAnsi="Tahoma" w:cs="Tahoma"/>
          <w:sz w:val="28"/>
          <w:szCs w:val="28"/>
          <w:lang w:val="ru-RU"/>
        </w:rPr>
        <w:t xml:space="preserve"> Қоры 2018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жыл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ішінде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үкімет бөлген кәсіпкерлікті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ынталандыру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үшін қаражат көлемі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бойынша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талдау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жасады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>.</w:t>
      </w:r>
      <w:proofErr w:type="gram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Кейбі</w:t>
      </w:r>
      <w:proofErr w:type="gramStart"/>
      <w:r w:rsidRPr="00245BED">
        <w:rPr>
          <w:rFonts w:ascii="Tahoma" w:hAnsi="Tahoma" w:cs="Tahoma"/>
          <w:sz w:val="28"/>
          <w:szCs w:val="28"/>
          <w:lang w:val="ru-RU"/>
        </w:rPr>
        <w:t>р</w:t>
      </w:r>
      <w:proofErr w:type="spellEnd"/>
      <w:proofErr w:type="gram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деректерді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келтірейік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: Түркия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бизнесті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r w:rsidRPr="00245BED">
        <w:rPr>
          <w:rFonts w:ascii="Tahoma" w:hAnsi="Tahoma" w:cs="Tahoma"/>
          <w:sz w:val="28"/>
          <w:szCs w:val="28"/>
          <w:lang w:val="ru-RU"/>
        </w:rPr>
        <w:lastRenderedPageBreak/>
        <w:t xml:space="preserve">дамытуға 11 856, Канада – 7 659,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Ресей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– 2 298, Австрия – 993, Қазақстан – 902, Финляндия – 899, Нидерланды – 755, Чехия – 338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млн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доллар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жіберді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.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Келтірілген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деректер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Қазақстанның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бизнесті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қаржыландыру мәселелері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бойынша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өршіл </w:t>
      </w:r>
      <w:proofErr w:type="spellStart"/>
      <w:r w:rsidRPr="00245BED">
        <w:rPr>
          <w:rFonts w:ascii="Tahoma" w:hAnsi="Tahoma" w:cs="Tahoma"/>
          <w:sz w:val="28"/>
          <w:szCs w:val="28"/>
          <w:lang w:val="ru-RU"/>
        </w:rPr>
        <w:t>саясат</w:t>
      </w:r>
      <w:proofErr w:type="spellEnd"/>
      <w:r w:rsidRPr="00245BED">
        <w:rPr>
          <w:rFonts w:ascii="Tahoma" w:hAnsi="Tahoma" w:cs="Tahoma"/>
          <w:sz w:val="28"/>
          <w:szCs w:val="28"/>
          <w:lang w:val="ru-RU"/>
        </w:rPr>
        <w:t xml:space="preserve"> жүргізіп отырғанын айғақтайды.</w:t>
      </w:r>
    </w:p>
    <w:p w:rsidR="00245BED" w:rsidRPr="00245BED" w:rsidRDefault="00245BED" w:rsidP="00245BED">
      <w:pPr>
        <w:spacing w:after="0" w:line="240" w:lineRule="auto"/>
        <w:ind w:right="146" w:firstLine="567"/>
        <w:jc w:val="both"/>
        <w:rPr>
          <w:rFonts w:ascii="Tahoma" w:hAnsi="Tahoma" w:cs="Tahoma"/>
          <w:noProof/>
          <w:sz w:val="28"/>
          <w:szCs w:val="28"/>
          <w:lang w:val="ru-RU" w:eastAsia="ru-RU"/>
        </w:rPr>
      </w:pP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 xml:space="preserve">ЭЫДҰ елдерінде кәсіпкерлікті қолдаудың негізгі құралдары субсидиялар, кепілдіктер, жеңілдікпен </w:t>
      </w:r>
      <w:r>
        <w:rPr>
          <w:rFonts w:ascii="Tahoma" w:hAnsi="Tahoma" w:cs="Tahoma"/>
          <w:noProof/>
          <w:sz w:val="28"/>
          <w:szCs w:val="28"/>
          <w:lang w:val="ru-RU" w:eastAsia="ru-RU"/>
        </w:rPr>
        <w:t xml:space="preserve">несие </w:t>
      </w: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>беру, экспортқа бағдарланған компанияларды қаржыландыру және басқалар. Біздің елімізде бұл шаралар да сәтті енгізіліп, жүзеге асырылуда. Дәс</w:t>
      </w:r>
      <w:r>
        <w:rPr>
          <w:rFonts w:ascii="Tahoma" w:hAnsi="Tahoma" w:cs="Tahoma"/>
          <w:noProof/>
          <w:sz w:val="28"/>
          <w:szCs w:val="28"/>
          <w:lang w:val="ru-RU" w:eastAsia="ru-RU"/>
        </w:rPr>
        <w:t>түрлі қолдау шараларымен қатар «</w:t>
      </w: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>Даму</w:t>
      </w:r>
      <w:r>
        <w:rPr>
          <w:rFonts w:ascii="Tahoma" w:hAnsi="Tahoma" w:cs="Tahoma"/>
          <w:noProof/>
          <w:sz w:val="28"/>
          <w:szCs w:val="28"/>
          <w:lang w:val="ru-RU" w:eastAsia="ru-RU"/>
        </w:rPr>
        <w:t>»</w:t>
      </w: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 xml:space="preserve"> Қоры секьюритилендіру, исламдық қаржыландыру қағидаттарында жеңілдікпен кредит</w:t>
      </w:r>
      <w:r>
        <w:rPr>
          <w:rFonts w:ascii="Tahoma" w:hAnsi="Tahoma" w:cs="Tahoma"/>
          <w:noProof/>
          <w:sz w:val="28"/>
          <w:szCs w:val="28"/>
          <w:lang w:val="ru-RU" w:eastAsia="ru-RU"/>
        </w:rPr>
        <w:t xml:space="preserve"> беру, купондық «</w:t>
      </w: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>жасыл облигациялар</w:t>
      </w:r>
      <w:r>
        <w:rPr>
          <w:rFonts w:ascii="Tahoma" w:hAnsi="Tahoma" w:cs="Tahoma"/>
          <w:noProof/>
          <w:sz w:val="28"/>
          <w:szCs w:val="28"/>
          <w:lang w:val="ru-RU" w:eastAsia="ru-RU"/>
        </w:rPr>
        <w:t xml:space="preserve">» </w:t>
      </w:r>
      <w:r w:rsidRPr="00245BED">
        <w:rPr>
          <w:rFonts w:ascii="Tahoma" w:hAnsi="Tahoma" w:cs="Tahoma"/>
          <w:noProof/>
          <w:sz w:val="28"/>
          <w:szCs w:val="28"/>
          <w:lang w:val="ru-RU" w:eastAsia="ru-RU"/>
        </w:rPr>
        <w:t>шығару сияқты жаңа құралдарды енгізеді.</w:t>
      </w:r>
    </w:p>
    <w:p w:rsidR="00093D30" w:rsidRPr="00245BED" w:rsidRDefault="00093D30" w:rsidP="00245BE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Бұл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шаралар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кәсіпкерліктің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одан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ә</w:t>
      </w:r>
      <w:proofErr w:type="gramStart"/>
      <w:r w:rsidRPr="00093D30">
        <w:rPr>
          <w:rFonts w:ascii="Tahoma" w:hAnsi="Tahoma" w:cs="Tahoma"/>
          <w:sz w:val="28"/>
          <w:szCs w:val="28"/>
          <w:lang w:val="ru-RU" w:eastAsia="ru-RU"/>
        </w:rPr>
        <w:t>р</w:t>
      </w:r>
      <w:proofErr w:type="gram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і өсуіне ықпал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етуі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тиіс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. </w:t>
      </w:r>
      <w:r>
        <w:rPr>
          <w:rFonts w:ascii="Tahoma" w:hAnsi="Tahoma" w:cs="Tahoma"/>
          <w:sz w:val="28"/>
          <w:szCs w:val="28"/>
          <w:lang w:val="ru-RU" w:eastAsia="ru-RU"/>
        </w:rPr>
        <w:t>«</w:t>
      </w:r>
      <w:r w:rsidRPr="00093D30">
        <w:rPr>
          <w:rFonts w:ascii="Tahoma" w:hAnsi="Tahoma" w:cs="Tahoma"/>
          <w:sz w:val="28"/>
          <w:szCs w:val="28"/>
          <w:lang w:val="ru-RU" w:eastAsia="ru-RU"/>
        </w:rPr>
        <w:t>Даму</w:t>
      </w:r>
      <w:r>
        <w:rPr>
          <w:rFonts w:ascii="Tahoma" w:hAnsi="Tahoma" w:cs="Tahoma"/>
          <w:sz w:val="28"/>
          <w:szCs w:val="28"/>
          <w:lang w:val="ru-RU" w:eastAsia="ru-RU"/>
        </w:rPr>
        <w:t>»</w:t>
      </w:r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Қоры ШОБ дамытудың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негізгі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институты. Біздің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негізгі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мақсатымыз – бәсекеге қабілетті </w:t>
      </w:r>
      <w:proofErr w:type="gramStart"/>
      <w:r w:rsidRPr="00093D30">
        <w:rPr>
          <w:rFonts w:ascii="Tahoma" w:hAnsi="Tahoma" w:cs="Tahoma"/>
          <w:sz w:val="28"/>
          <w:szCs w:val="28"/>
          <w:lang w:val="ru-RU" w:eastAsia="ru-RU"/>
        </w:rPr>
        <w:t>жа</w:t>
      </w:r>
      <w:proofErr w:type="gram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ңа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компаниялар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 xml:space="preserve"> құруды қолдау және отандық кәсіпкерлікті </w:t>
      </w:r>
      <w:proofErr w:type="spellStart"/>
      <w:r w:rsidRPr="00093D30">
        <w:rPr>
          <w:rFonts w:ascii="Tahoma" w:hAnsi="Tahoma" w:cs="Tahoma"/>
          <w:sz w:val="28"/>
          <w:szCs w:val="28"/>
          <w:lang w:val="ru-RU" w:eastAsia="ru-RU"/>
        </w:rPr>
        <w:t>дамыту</w:t>
      </w:r>
      <w:proofErr w:type="spellEnd"/>
      <w:r w:rsidRPr="00093D30">
        <w:rPr>
          <w:rFonts w:ascii="Tahoma" w:hAnsi="Tahoma" w:cs="Tahoma"/>
          <w:sz w:val="28"/>
          <w:szCs w:val="28"/>
          <w:lang w:val="ru-RU" w:eastAsia="ru-RU"/>
        </w:rPr>
        <w:t>.</w:t>
      </w:r>
    </w:p>
    <w:p w:rsidR="00245BED" w:rsidRPr="00245BED" w:rsidRDefault="00245BED" w:rsidP="00245BED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245BED" w:rsidRPr="00245BED" w:rsidRDefault="00245BED" w:rsidP="00245BED">
      <w:pPr>
        <w:spacing w:after="0" w:line="240" w:lineRule="auto"/>
        <w:ind w:firstLine="720"/>
        <w:jc w:val="right"/>
        <w:rPr>
          <w:rFonts w:ascii="Tahoma" w:hAnsi="Tahoma" w:cs="Tahoma"/>
          <w:i/>
          <w:iCs/>
          <w:sz w:val="28"/>
          <w:szCs w:val="28"/>
          <w:lang w:val="ru-RU" w:eastAsia="ru-RU"/>
        </w:rPr>
      </w:pPr>
    </w:p>
    <w:p w:rsidR="00245BED" w:rsidRPr="00245BED" w:rsidRDefault="00245BED" w:rsidP="00245BED">
      <w:pPr>
        <w:spacing w:after="0" w:line="240" w:lineRule="auto"/>
        <w:ind w:firstLine="720"/>
        <w:jc w:val="right"/>
        <w:rPr>
          <w:rFonts w:ascii="Tahoma" w:hAnsi="Tahoma" w:cs="Tahoma"/>
          <w:noProof/>
          <w:sz w:val="28"/>
          <w:szCs w:val="28"/>
          <w:lang w:val="ru-RU"/>
        </w:rPr>
      </w:pPr>
    </w:p>
    <w:p w:rsidR="00245BED" w:rsidRPr="00245BED" w:rsidRDefault="00245BED" w:rsidP="00245BED">
      <w:pPr>
        <w:rPr>
          <w:rFonts w:ascii="Tahoma" w:hAnsi="Tahoma" w:cs="Tahoma"/>
          <w:noProof/>
          <w:sz w:val="28"/>
          <w:szCs w:val="28"/>
          <w:lang w:val="ru-RU"/>
        </w:rPr>
      </w:pPr>
    </w:p>
    <w:p w:rsidR="0096186D" w:rsidRPr="00245BED" w:rsidRDefault="0096186D" w:rsidP="00432554">
      <w:pPr>
        <w:spacing w:after="0" w:line="240" w:lineRule="auto"/>
        <w:ind w:firstLine="720"/>
        <w:jc w:val="right"/>
        <w:rPr>
          <w:rFonts w:ascii="Tahoma" w:hAnsi="Tahoma" w:cs="Tahoma"/>
          <w:b/>
          <w:noProof/>
          <w:sz w:val="28"/>
          <w:szCs w:val="28"/>
          <w:lang w:val="ru-RU"/>
        </w:rPr>
      </w:pPr>
    </w:p>
    <w:p w:rsidR="0096186D" w:rsidRPr="00245BED" w:rsidRDefault="0096186D" w:rsidP="0096186D">
      <w:pPr>
        <w:rPr>
          <w:rFonts w:ascii="Tahoma" w:hAnsi="Tahoma" w:cs="Tahoma"/>
          <w:noProof/>
          <w:sz w:val="28"/>
          <w:szCs w:val="28"/>
          <w:lang w:val="ru-RU"/>
        </w:rPr>
      </w:pPr>
    </w:p>
    <w:sectPr w:rsidR="0096186D" w:rsidRPr="00245BED" w:rsidSect="008125C6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71FB1" w16cid:durableId="2353A6B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6A6"/>
    <w:multiLevelType w:val="hybridMultilevel"/>
    <w:tmpl w:val="1626FB1C"/>
    <w:lvl w:ilvl="0" w:tplc="11D229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858CA"/>
    <w:multiLevelType w:val="hybridMultilevel"/>
    <w:tmpl w:val="8CB0A9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802"/>
    <w:rsid w:val="00027873"/>
    <w:rsid w:val="00093D30"/>
    <w:rsid w:val="000F4E5F"/>
    <w:rsid w:val="00172BB1"/>
    <w:rsid w:val="001737DF"/>
    <w:rsid w:val="00201D98"/>
    <w:rsid w:val="00222DBD"/>
    <w:rsid w:val="00245BED"/>
    <w:rsid w:val="002615EF"/>
    <w:rsid w:val="002F47F8"/>
    <w:rsid w:val="00375C55"/>
    <w:rsid w:val="00411EEF"/>
    <w:rsid w:val="00432554"/>
    <w:rsid w:val="0044550B"/>
    <w:rsid w:val="004A02B8"/>
    <w:rsid w:val="004A5A8B"/>
    <w:rsid w:val="004D0FF2"/>
    <w:rsid w:val="005079CA"/>
    <w:rsid w:val="00530EC4"/>
    <w:rsid w:val="00540F40"/>
    <w:rsid w:val="00545E33"/>
    <w:rsid w:val="00566E6F"/>
    <w:rsid w:val="0059606E"/>
    <w:rsid w:val="005E0382"/>
    <w:rsid w:val="00625195"/>
    <w:rsid w:val="006F3CE4"/>
    <w:rsid w:val="00745030"/>
    <w:rsid w:val="007F2CBC"/>
    <w:rsid w:val="008125C6"/>
    <w:rsid w:val="00820EE5"/>
    <w:rsid w:val="00834802"/>
    <w:rsid w:val="008802CC"/>
    <w:rsid w:val="008D3E8B"/>
    <w:rsid w:val="0094261E"/>
    <w:rsid w:val="009426DA"/>
    <w:rsid w:val="0096186D"/>
    <w:rsid w:val="009963DC"/>
    <w:rsid w:val="009C4530"/>
    <w:rsid w:val="009D6DCB"/>
    <w:rsid w:val="009D7987"/>
    <w:rsid w:val="00A0037F"/>
    <w:rsid w:val="00A65E4B"/>
    <w:rsid w:val="00AD5916"/>
    <w:rsid w:val="00AE34BD"/>
    <w:rsid w:val="00B542DA"/>
    <w:rsid w:val="00C75623"/>
    <w:rsid w:val="00CD4BB1"/>
    <w:rsid w:val="00CE4D4C"/>
    <w:rsid w:val="00CF7E39"/>
    <w:rsid w:val="00D136E5"/>
    <w:rsid w:val="00D42EE6"/>
    <w:rsid w:val="00D80336"/>
    <w:rsid w:val="00D82F31"/>
    <w:rsid w:val="00DA7807"/>
    <w:rsid w:val="00E3142B"/>
    <w:rsid w:val="00FC3256"/>
    <w:rsid w:val="00FF364E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E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E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1E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E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E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EE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364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</dc:creator>
  <cp:keywords/>
  <dc:description/>
  <cp:lastModifiedBy>Dosan</cp:lastModifiedBy>
  <cp:revision>8</cp:revision>
  <dcterms:created xsi:type="dcterms:W3CDTF">2020-11-17T09:34:00Z</dcterms:created>
  <dcterms:modified xsi:type="dcterms:W3CDTF">2020-12-03T04:14:00Z</dcterms:modified>
</cp:coreProperties>
</file>